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bookmarkStart w:id="0" w:name="_GoBack"/>
      <w:bookmarkEnd w:id="0"/>
      <w:r w:rsidRPr="00E2701F">
        <w:rPr>
          <w:rFonts w:ascii="Arial" w:eastAsia="Times New Roman" w:hAnsi="Arial" w:cs="Arial"/>
          <w:color w:val="000000"/>
          <w:lang w:eastAsia="en-AU"/>
        </w:rPr>
        <w:t xml:space="preserve">In August 2009, the Government released the </w:t>
      </w:r>
      <w:r w:rsidRPr="00E2701F">
        <w:rPr>
          <w:rFonts w:ascii="Arial" w:eastAsia="Times New Roman" w:hAnsi="Arial" w:cs="Arial"/>
          <w:i/>
          <w:color w:val="000000"/>
          <w:lang w:eastAsia="en-AU"/>
        </w:rPr>
        <w:t>Integrity and Accountability in Queensland</w:t>
      </w:r>
      <w:r w:rsidRPr="00E2701F">
        <w:rPr>
          <w:rFonts w:ascii="Arial" w:eastAsia="Times New Roman" w:hAnsi="Arial" w:cs="Arial"/>
          <w:color w:val="000000"/>
          <w:lang w:eastAsia="en-AU"/>
        </w:rPr>
        <w:t xml:space="preserve"> discussion paper to promote public discussion on improving </w:t>
      </w:r>
      <w:smartTag w:uri="urn:schemas-microsoft-com:office:smarttags" w:element="State">
        <w:smartTag w:uri="urn:schemas-microsoft-com:office:smarttags" w:element="place">
          <w:r w:rsidRPr="00E2701F">
            <w:rPr>
              <w:rFonts w:ascii="Arial" w:eastAsia="Times New Roman" w:hAnsi="Arial" w:cs="Arial"/>
              <w:color w:val="000000"/>
              <w:lang w:eastAsia="en-AU"/>
            </w:rPr>
            <w:t>Queensland</w:t>
          </w:r>
        </w:smartTag>
      </w:smartTag>
      <w:r w:rsidRPr="00E2701F">
        <w:rPr>
          <w:rFonts w:ascii="Arial" w:eastAsia="Times New Roman" w:hAnsi="Arial" w:cs="Arial"/>
          <w:color w:val="000000"/>
          <w:lang w:eastAsia="en-AU"/>
        </w:rPr>
        <w:t xml:space="preserve">’s integrity and accountability framework.  The consultation on the paper highlighted the importance of the Legislative Assembly possessing and maintaining a high standard of scrutiny over the legislative process.  </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In response to this feedback, a bipartisan Parliamentary Committee System Review Committee (the Committee) was established to review the role of Queensland’s parliamentary committees in contrast to committee systems in other Australian and international jurisdictions.</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 xml:space="preserve">In December 2010, the Committee tabled its report on the inquiry titled </w:t>
      </w:r>
      <w:r w:rsidRPr="00E2701F">
        <w:rPr>
          <w:rFonts w:ascii="Arial" w:eastAsia="Times New Roman" w:hAnsi="Arial" w:cs="Arial"/>
          <w:i/>
          <w:color w:val="000000"/>
          <w:lang w:eastAsia="en-AU"/>
        </w:rPr>
        <w:t>Review of the Queensland Parliamentary Committee System</w:t>
      </w:r>
      <w:r w:rsidRPr="00E2701F">
        <w:rPr>
          <w:rFonts w:ascii="Arial" w:eastAsia="Times New Roman" w:hAnsi="Arial" w:cs="Arial"/>
          <w:color w:val="000000"/>
          <w:lang w:eastAsia="en-AU"/>
        </w:rPr>
        <w:t xml:space="preserve"> (the Report). </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The Government responded to the Report in March 2011, and in the response supported the establishment of a Committee of the Legislative Assembly (CLA) to amongst other things oversee the parliament’s budget, facilities management for parliamentary committees, maintenance for the parliamentary buildings, and policies for the management of the Parliament.</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 xml:space="preserve">The Government also referred the task of reviewing the </w:t>
      </w:r>
      <w:r w:rsidRPr="00E2701F">
        <w:rPr>
          <w:rFonts w:ascii="Arial" w:eastAsia="Times New Roman" w:hAnsi="Arial" w:cs="Arial"/>
          <w:i/>
          <w:color w:val="000000"/>
          <w:lang w:eastAsia="en-AU"/>
        </w:rPr>
        <w:t>Parliamentary Service Act 1988</w:t>
      </w:r>
      <w:r w:rsidRPr="00E2701F">
        <w:rPr>
          <w:rFonts w:ascii="Arial" w:eastAsia="Times New Roman" w:hAnsi="Arial" w:cs="Arial"/>
          <w:color w:val="000000"/>
          <w:lang w:eastAsia="en-AU"/>
        </w:rPr>
        <w:t xml:space="preserve"> to the CLA and the Parliamentary Service and Other Acts Amendment Bill 2011 gives legislative effect to the Government’s consultation with the CLA about these matters.</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 xml:space="preserve">The Public Accounts and Public Works Committee (PAPWC) has tabled two reports regarding the </w:t>
      </w:r>
      <w:r w:rsidRPr="00E2701F">
        <w:rPr>
          <w:rFonts w:ascii="Arial" w:eastAsia="Times New Roman" w:hAnsi="Arial" w:cs="Arial"/>
          <w:i/>
          <w:color w:val="000000"/>
          <w:lang w:eastAsia="en-AU"/>
        </w:rPr>
        <w:t>Report of the 2010 Strategic Review of the Queensland Audit Office</w:t>
      </w:r>
      <w:r w:rsidRPr="00E2701F">
        <w:rPr>
          <w:rFonts w:ascii="Arial" w:eastAsia="Times New Roman" w:hAnsi="Arial" w:cs="Arial"/>
          <w:color w:val="000000"/>
          <w:lang w:eastAsia="en-AU"/>
        </w:rPr>
        <w:t xml:space="preserve">. PAPWC Report No. 5, </w:t>
      </w:r>
      <w:r w:rsidRPr="00E2701F">
        <w:rPr>
          <w:rFonts w:ascii="Arial" w:eastAsia="Times New Roman" w:hAnsi="Arial" w:cs="Arial"/>
          <w:i/>
          <w:color w:val="000000"/>
          <w:lang w:eastAsia="en-AU"/>
        </w:rPr>
        <w:t>Inquiry into an Evaluation of the Effectiveness of the Performance Management Systems (PMS) audit mandate’</w:t>
      </w:r>
      <w:r w:rsidRPr="00E2701F">
        <w:rPr>
          <w:rFonts w:ascii="Arial" w:eastAsia="Times New Roman" w:hAnsi="Arial" w:cs="Arial"/>
          <w:color w:val="000000"/>
          <w:lang w:eastAsia="en-AU"/>
        </w:rPr>
        <w:t>, addressed issues regarding the Auditor-General’s performance management systems audit mandate.  The Government response to Report No. 5 was tabled in the Parliament on 1 December 2010.</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 xml:space="preserve">PAPWC Report No. 7, </w:t>
      </w:r>
      <w:r w:rsidRPr="00E2701F">
        <w:rPr>
          <w:rFonts w:ascii="Arial" w:eastAsia="Times New Roman" w:hAnsi="Arial" w:cs="Arial"/>
          <w:i/>
          <w:color w:val="000000"/>
          <w:lang w:eastAsia="en-AU"/>
        </w:rPr>
        <w:t>Inquiry to formally review the 'Report of the 2010 Strategic Review of the Queensland Audit Office to consider the recommendations made and comment on other findings where appropriate</w:t>
      </w:r>
      <w:r w:rsidRPr="00E2701F">
        <w:rPr>
          <w:rFonts w:ascii="Arial" w:eastAsia="Times New Roman" w:hAnsi="Arial" w:cs="Arial"/>
          <w:color w:val="000000"/>
          <w:lang w:eastAsia="en-AU"/>
        </w:rPr>
        <w:t xml:space="preserve"> addresses the remaining recommendations of the 2010 Strategic Review. Pursuant to section 107 of the Parliament of Queensland Act 2001, the Government response to Report No. 7 is required to be tabled by 9 June 2011.  </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lang w:eastAsia="en-AU"/>
        </w:rPr>
        <w:t>The Parliamentary Service and Other Acts Amendment Bill 2011 also gives legislative effect to the Government’s responses to PAPWC Reports No. 5 and 7 together with certain other matters raised by the Auditor-General with the Government.</w:t>
      </w:r>
    </w:p>
    <w:p w:rsidR="00E2701F" w:rsidRPr="00E2701F" w:rsidRDefault="00E2701F" w:rsidP="00C56576">
      <w:pPr>
        <w:numPr>
          <w:ilvl w:val="0"/>
          <w:numId w:val="1"/>
        </w:numPr>
        <w:spacing w:before="180"/>
        <w:ind w:left="357" w:hanging="357"/>
        <w:rPr>
          <w:rFonts w:ascii="Arial" w:eastAsia="Times New Roman" w:hAnsi="Arial" w:cs="Arial"/>
          <w:color w:val="000000"/>
          <w:lang w:eastAsia="en-AU"/>
        </w:rPr>
      </w:pPr>
      <w:r w:rsidRPr="00E2701F">
        <w:rPr>
          <w:rFonts w:ascii="Arial" w:eastAsia="Times New Roman" w:hAnsi="Arial" w:cs="Arial"/>
          <w:color w:val="000000"/>
          <w:u w:val="single"/>
          <w:lang w:eastAsia="en-AU"/>
        </w:rPr>
        <w:t>Cabinet approved</w:t>
      </w:r>
      <w:r w:rsidRPr="00E2701F">
        <w:rPr>
          <w:rFonts w:ascii="Arial" w:eastAsia="Times New Roman" w:hAnsi="Arial" w:cs="Arial"/>
          <w:color w:val="000000"/>
          <w:lang w:eastAsia="en-AU"/>
        </w:rPr>
        <w:t xml:space="preserve"> that the Parliamentary Service and Other Acts Amendment Bill 2011 be introduced into the Legislative Assembly.</w:t>
      </w:r>
    </w:p>
    <w:p w:rsidR="00E2701F" w:rsidRPr="00E2701F" w:rsidRDefault="00E2701F" w:rsidP="00C56576">
      <w:pPr>
        <w:numPr>
          <w:ilvl w:val="0"/>
          <w:numId w:val="1"/>
        </w:numPr>
        <w:spacing w:before="180"/>
        <w:ind w:left="357" w:hanging="357"/>
        <w:rPr>
          <w:rFonts w:ascii="Arial" w:eastAsia="Times New Roman" w:hAnsi="Arial" w:cs="Arial"/>
          <w:bCs/>
          <w:color w:val="000000"/>
          <w:spacing w:val="-3"/>
          <w:lang w:eastAsia="en-AU"/>
        </w:rPr>
      </w:pPr>
      <w:r w:rsidRPr="00E2701F">
        <w:rPr>
          <w:rFonts w:ascii="Arial" w:eastAsia="Times New Roman" w:hAnsi="Arial" w:cs="Arial"/>
          <w:color w:val="000000"/>
          <w:u w:val="single"/>
          <w:lang w:eastAsia="en-AU"/>
        </w:rPr>
        <w:t>Cabinet endorsed</w:t>
      </w:r>
      <w:r w:rsidRPr="00E2701F">
        <w:rPr>
          <w:rFonts w:ascii="Arial" w:eastAsia="Times New Roman" w:hAnsi="Arial" w:cs="Arial"/>
          <w:color w:val="000000"/>
          <w:lang w:eastAsia="en-AU"/>
        </w:rPr>
        <w:t xml:space="preserve"> the Government response to Public Accounts and Public Works Committee Report No. 7.</w:t>
      </w:r>
    </w:p>
    <w:p w:rsidR="00E2701F" w:rsidRPr="00E2701F" w:rsidRDefault="00E2701F" w:rsidP="00C56576">
      <w:pPr>
        <w:numPr>
          <w:ilvl w:val="0"/>
          <w:numId w:val="1"/>
        </w:numPr>
        <w:spacing w:before="300"/>
        <w:ind w:left="357" w:hanging="357"/>
        <w:jc w:val="left"/>
        <w:rPr>
          <w:rFonts w:ascii="Arial" w:eastAsia="Times New Roman" w:hAnsi="Arial" w:cs="Arial"/>
          <w:color w:val="000000"/>
          <w:u w:val="single"/>
          <w:lang w:eastAsia="en-AU"/>
        </w:rPr>
      </w:pPr>
      <w:r w:rsidRPr="00E2701F">
        <w:rPr>
          <w:rFonts w:ascii="Arial" w:eastAsia="Times New Roman" w:hAnsi="Arial" w:cs="Arial"/>
          <w:color w:val="000000"/>
          <w:u w:val="single"/>
          <w:lang w:eastAsia="en-AU"/>
        </w:rPr>
        <w:t>Attachments</w:t>
      </w:r>
    </w:p>
    <w:p w:rsidR="00E2701F" w:rsidRPr="00E2701F" w:rsidRDefault="00CC5D95" w:rsidP="00E2701F">
      <w:pPr>
        <w:numPr>
          <w:ilvl w:val="0"/>
          <w:numId w:val="2"/>
        </w:numPr>
        <w:tabs>
          <w:tab w:val="num" w:pos="280"/>
        </w:tabs>
        <w:spacing w:before="120"/>
        <w:ind w:left="811"/>
        <w:jc w:val="left"/>
        <w:rPr>
          <w:rFonts w:ascii="Arial" w:eastAsia="Times New Roman" w:hAnsi="Arial" w:cs="Arial"/>
          <w:color w:val="000000"/>
          <w:lang w:eastAsia="en-AU"/>
        </w:rPr>
      </w:pPr>
      <w:hyperlink r:id="rId7" w:history="1">
        <w:r w:rsidR="00E2701F" w:rsidRPr="006A6F53">
          <w:rPr>
            <w:rStyle w:val="Hyperlink"/>
            <w:rFonts w:ascii="Arial" w:eastAsia="Times New Roman" w:hAnsi="Arial" w:cs="Arial"/>
            <w:lang w:eastAsia="en-AU"/>
          </w:rPr>
          <w:t>Parliamentary Service and Other Acts Amendment Bill 2011</w:t>
        </w:r>
      </w:hyperlink>
    </w:p>
    <w:p w:rsidR="00E2701F" w:rsidRDefault="00CC5D95" w:rsidP="00E2701F">
      <w:pPr>
        <w:numPr>
          <w:ilvl w:val="0"/>
          <w:numId w:val="2"/>
        </w:numPr>
        <w:tabs>
          <w:tab w:val="num" w:pos="280"/>
        </w:tabs>
        <w:spacing w:before="120"/>
        <w:ind w:left="811"/>
        <w:jc w:val="left"/>
        <w:rPr>
          <w:rFonts w:ascii="Arial" w:eastAsia="Times New Roman" w:hAnsi="Arial" w:cs="Arial"/>
          <w:color w:val="000000"/>
          <w:lang w:eastAsia="en-AU"/>
        </w:rPr>
      </w:pPr>
      <w:hyperlink r:id="rId8" w:history="1">
        <w:r w:rsidR="00E2701F" w:rsidRPr="006A6F53">
          <w:rPr>
            <w:rStyle w:val="Hyperlink"/>
            <w:rFonts w:ascii="Arial" w:eastAsia="Times New Roman" w:hAnsi="Arial" w:cs="Arial"/>
            <w:lang w:eastAsia="en-AU"/>
          </w:rPr>
          <w:t>Explanatory Notes</w:t>
        </w:r>
      </w:hyperlink>
    </w:p>
    <w:p w:rsidR="004F6074" w:rsidRDefault="00CC5D95" w:rsidP="00E2701F">
      <w:pPr>
        <w:numPr>
          <w:ilvl w:val="0"/>
          <w:numId w:val="2"/>
        </w:numPr>
        <w:tabs>
          <w:tab w:val="num" w:pos="280"/>
        </w:tabs>
        <w:spacing w:before="120"/>
        <w:ind w:left="811"/>
        <w:jc w:val="left"/>
        <w:rPr>
          <w:rFonts w:ascii="Arial" w:eastAsia="Times New Roman" w:hAnsi="Arial" w:cs="Arial"/>
          <w:color w:val="000000"/>
          <w:lang w:eastAsia="en-AU"/>
        </w:rPr>
      </w:pPr>
      <w:hyperlink r:id="rId9" w:history="1">
        <w:r w:rsidR="00E2701F" w:rsidRPr="006A6F53">
          <w:rPr>
            <w:rStyle w:val="Hyperlink"/>
            <w:rFonts w:ascii="Arial" w:eastAsia="Times New Roman" w:hAnsi="Arial" w:cs="Arial"/>
            <w:lang w:eastAsia="en-AU"/>
          </w:rPr>
          <w:t>Public Accounts and Public Works Committee Report No. 7</w:t>
        </w:r>
      </w:hyperlink>
    </w:p>
    <w:p w:rsidR="00C56576" w:rsidRPr="00E2701F" w:rsidRDefault="00CC5D95" w:rsidP="00E2701F">
      <w:pPr>
        <w:numPr>
          <w:ilvl w:val="0"/>
          <w:numId w:val="2"/>
        </w:numPr>
        <w:tabs>
          <w:tab w:val="num" w:pos="280"/>
        </w:tabs>
        <w:spacing w:before="120"/>
        <w:ind w:left="811"/>
        <w:jc w:val="left"/>
        <w:rPr>
          <w:rFonts w:ascii="Arial" w:eastAsia="Times New Roman" w:hAnsi="Arial" w:cs="Arial"/>
          <w:color w:val="000000"/>
          <w:lang w:eastAsia="en-AU"/>
        </w:rPr>
      </w:pPr>
      <w:hyperlink r:id="rId10" w:history="1">
        <w:r w:rsidR="00C56576" w:rsidRPr="006A6F53">
          <w:rPr>
            <w:rStyle w:val="Hyperlink"/>
            <w:rFonts w:ascii="Arial" w:eastAsia="Times New Roman" w:hAnsi="Arial" w:cs="Arial"/>
            <w:lang w:eastAsia="en-AU"/>
          </w:rPr>
          <w:t>Government response to Public Accounts and Public Works Committee Report No. 7</w:t>
        </w:r>
      </w:hyperlink>
    </w:p>
    <w:sectPr w:rsidR="00C56576" w:rsidRPr="00E2701F" w:rsidSect="00E2701F">
      <w:headerReference w:type="default" r:id="rId11"/>
      <w:footerReference w:type="default" r:id="rId12"/>
      <w:headerReference w:type="first" r:id="rId13"/>
      <w:pgSz w:w="11907" w:h="16840" w:code="9"/>
      <w:pgMar w:top="1418" w:right="1418" w:bottom="907" w:left="1418" w:header="851" w:footer="851" w:gutter="0"/>
      <w:paperSrc w:first="15" w:other="15"/>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B0" w:rsidRDefault="009D50B0" w:rsidP="00E2701F">
      <w:pPr>
        <w:spacing w:before="0"/>
      </w:pPr>
      <w:r>
        <w:separator/>
      </w:r>
    </w:p>
  </w:endnote>
  <w:endnote w:type="continuationSeparator" w:id="0">
    <w:p w:rsidR="009D50B0" w:rsidRDefault="009D50B0" w:rsidP="00E270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23" w:rsidRPr="001141E1" w:rsidRDefault="00443723" w:rsidP="00443723">
    <w:pPr>
      <w:pStyle w:val="Footer"/>
      <w:tabs>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B0" w:rsidRDefault="009D50B0" w:rsidP="00E2701F">
      <w:pPr>
        <w:spacing w:before="0"/>
      </w:pPr>
      <w:r>
        <w:separator/>
      </w:r>
    </w:p>
  </w:footnote>
  <w:footnote w:type="continuationSeparator" w:id="0">
    <w:p w:rsidR="009D50B0" w:rsidRDefault="009D50B0" w:rsidP="00E2701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23" w:rsidRPr="000400F9" w:rsidRDefault="00AC08A8" w:rsidP="00443723">
    <w:pPr>
      <w:pStyle w:val="Header"/>
      <w:ind w:firstLine="2880"/>
      <w:rPr>
        <w:rFonts w:ascii="Arial" w:hAnsi="Arial" w:cs="Arial"/>
        <w:b/>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43723" w:rsidRPr="000400F9">
      <w:rPr>
        <w:rFonts w:ascii="Arial" w:hAnsi="Arial" w:cs="Arial"/>
        <w:b/>
        <w:u w:val="single"/>
      </w:rPr>
      <w:t xml:space="preserve">Cabinet – </w:t>
    </w:r>
    <w:r w:rsidR="00443723">
      <w:rPr>
        <w:rFonts w:ascii="Arial" w:hAnsi="Arial" w:cs="Arial"/>
        <w:b/>
        <w:u w:val="single"/>
      </w:rPr>
      <w:t>month year</w:t>
    </w:r>
  </w:p>
  <w:p w:rsidR="00443723" w:rsidRDefault="00443723" w:rsidP="00443723">
    <w:pPr>
      <w:pStyle w:val="Header"/>
      <w:spacing w:before="120"/>
      <w:rPr>
        <w:rFonts w:ascii="Arial" w:hAnsi="Arial" w:cs="Arial"/>
        <w:b/>
        <w:u w:val="single"/>
      </w:rPr>
    </w:pPr>
    <w:r>
      <w:rPr>
        <w:rFonts w:ascii="Arial" w:hAnsi="Arial" w:cs="Arial"/>
        <w:b/>
        <w:u w:val="single"/>
      </w:rPr>
      <w:t>submission subject</w:t>
    </w:r>
  </w:p>
  <w:p w:rsidR="00443723" w:rsidRDefault="00443723" w:rsidP="00443723">
    <w:pPr>
      <w:pStyle w:val="Header"/>
      <w:spacing w:before="120"/>
      <w:rPr>
        <w:rFonts w:ascii="Arial" w:hAnsi="Arial" w:cs="Arial"/>
        <w:b/>
        <w:u w:val="single"/>
      </w:rPr>
    </w:pPr>
    <w:r>
      <w:rPr>
        <w:rFonts w:ascii="Arial" w:hAnsi="Arial" w:cs="Arial"/>
        <w:b/>
        <w:u w:val="single"/>
      </w:rPr>
      <w:t>Minister/s title</w:t>
    </w:r>
  </w:p>
  <w:p w:rsidR="00443723" w:rsidRPr="00F10DF9" w:rsidRDefault="00443723" w:rsidP="00443723">
    <w:pPr>
      <w:pStyle w:val="Header"/>
      <w:pBdr>
        <w:bottom w:val="single" w:sz="8" w:space="1" w:color="auto"/>
      </w:pBdr>
      <w:spacing w:line="180" w:lineRule="exac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23" w:rsidRPr="00981523" w:rsidRDefault="00AC08A8" w:rsidP="00443723">
    <w:pPr>
      <w:pStyle w:val="Header"/>
      <w:tabs>
        <w:tab w:val="right" w:pos="9072"/>
      </w:tabs>
      <w:ind w:firstLine="2880"/>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6" name="Picture 1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43723" w:rsidRPr="000400F9">
      <w:rPr>
        <w:rFonts w:ascii="Arial" w:hAnsi="Arial" w:cs="Arial"/>
        <w:b/>
        <w:u w:val="single"/>
      </w:rPr>
      <w:t xml:space="preserve">Cabinet – </w:t>
    </w:r>
    <w:r w:rsidR="00443723">
      <w:rPr>
        <w:rFonts w:ascii="Arial" w:hAnsi="Arial" w:cs="Arial"/>
        <w:b/>
        <w:u w:val="single"/>
      </w:rPr>
      <w:t>June 2011</w:t>
    </w:r>
  </w:p>
  <w:p w:rsidR="00443723" w:rsidRDefault="00A32A75" w:rsidP="00443723">
    <w:pPr>
      <w:pStyle w:val="Header"/>
      <w:spacing w:before="120"/>
      <w:rPr>
        <w:rFonts w:ascii="Arial" w:hAnsi="Arial" w:cs="Arial"/>
        <w:b/>
        <w:u w:val="single"/>
      </w:rPr>
    </w:pPr>
    <w:r w:rsidRPr="00A32A75">
      <w:rPr>
        <w:rFonts w:ascii="Arial" w:hAnsi="Arial" w:cs="Arial"/>
        <w:b/>
        <w:u w:val="single"/>
      </w:rPr>
      <w:t>Parliamentary Service and Other Acts Amendment Bill 2011 and the Government response to P</w:t>
    </w:r>
    <w:r w:rsidRPr="00A32A75">
      <w:rPr>
        <w:rFonts w:ascii="Arial" w:hAnsi="Arial" w:cs="Arial"/>
        <w:b/>
        <w:iCs/>
        <w:u w:val="single"/>
      </w:rPr>
      <w:t xml:space="preserve">ublic Accounts and Public Works Committee Report No. 7 regarding the </w:t>
    </w:r>
    <w:r w:rsidRPr="00A32A75">
      <w:rPr>
        <w:rFonts w:ascii="Arial" w:hAnsi="Arial" w:cs="Arial"/>
        <w:b/>
        <w:i/>
        <w:u w:val="single"/>
      </w:rPr>
      <w:t>Report of the 2010 Strategic Review of the Queensland Audit Office</w:t>
    </w:r>
    <w:r w:rsidR="00443723" w:rsidRPr="009A3F3B">
      <w:rPr>
        <w:rFonts w:ascii="Arial" w:hAnsi="Arial" w:cs="Arial"/>
        <w:b/>
        <w:u w:val="single"/>
      </w:rPr>
      <w:t xml:space="preserve"> </w:t>
    </w:r>
  </w:p>
  <w:p w:rsidR="00443723" w:rsidRDefault="00443723" w:rsidP="00443723">
    <w:pPr>
      <w:pStyle w:val="Header"/>
      <w:spacing w:before="120"/>
      <w:rPr>
        <w:rFonts w:ascii="Arial" w:hAnsi="Arial" w:cs="Arial"/>
        <w:b/>
        <w:u w:val="single"/>
      </w:rPr>
    </w:pPr>
    <w:r>
      <w:rPr>
        <w:rFonts w:ascii="Arial" w:hAnsi="Arial" w:cs="Arial"/>
        <w:b/>
        <w:u w:val="single"/>
      </w:rPr>
      <w:t>Premier and Minister for Reconstruction</w:t>
    </w:r>
  </w:p>
  <w:p w:rsidR="00443723" w:rsidRPr="00F10DF9" w:rsidRDefault="00443723" w:rsidP="00443723">
    <w:pPr>
      <w:pStyle w:val="Header"/>
      <w:pBdr>
        <w:bottom w:val="single" w:sz="8" w:space="1" w:color="auto"/>
      </w:pBdr>
      <w:spacing w:line="18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1F"/>
    <w:rsid w:val="00012B52"/>
    <w:rsid w:val="00020BCE"/>
    <w:rsid w:val="00022F0A"/>
    <w:rsid w:val="000757DC"/>
    <w:rsid w:val="00083DE1"/>
    <w:rsid w:val="0009109D"/>
    <w:rsid w:val="000943AB"/>
    <w:rsid w:val="000B26F3"/>
    <w:rsid w:val="000C32F2"/>
    <w:rsid w:val="00126F66"/>
    <w:rsid w:val="00127EB4"/>
    <w:rsid w:val="0013096E"/>
    <w:rsid w:val="00135097"/>
    <w:rsid w:val="001444C3"/>
    <w:rsid w:val="001649D1"/>
    <w:rsid w:val="00180A1C"/>
    <w:rsid w:val="001A2427"/>
    <w:rsid w:val="001C55D1"/>
    <w:rsid w:val="001C6A26"/>
    <w:rsid w:val="001D43E8"/>
    <w:rsid w:val="00215202"/>
    <w:rsid w:val="002710C9"/>
    <w:rsid w:val="0029520F"/>
    <w:rsid w:val="002960C9"/>
    <w:rsid w:val="002D0F0E"/>
    <w:rsid w:val="002D1274"/>
    <w:rsid w:val="003275A5"/>
    <w:rsid w:val="00332A14"/>
    <w:rsid w:val="00341DCF"/>
    <w:rsid w:val="00382B40"/>
    <w:rsid w:val="003A6BA7"/>
    <w:rsid w:val="004040D7"/>
    <w:rsid w:val="00420C73"/>
    <w:rsid w:val="0042145F"/>
    <w:rsid w:val="00443723"/>
    <w:rsid w:val="00463334"/>
    <w:rsid w:val="0046671D"/>
    <w:rsid w:val="0048287B"/>
    <w:rsid w:val="004971D6"/>
    <w:rsid w:val="004E301B"/>
    <w:rsid w:val="004F6074"/>
    <w:rsid w:val="00501413"/>
    <w:rsid w:val="0055022F"/>
    <w:rsid w:val="00575492"/>
    <w:rsid w:val="00592390"/>
    <w:rsid w:val="005E4B26"/>
    <w:rsid w:val="00654B44"/>
    <w:rsid w:val="00661CEF"/>
    <w:rsid w:val="00665C7B"/>
    <w:rsid w:val="0069315D"/>
    <w:rsid w:val="006A358D"/>
    <w:rsid w:val="006A588A"/>
    <w:rsid w:val="006A6F53"/>
    <w:rsid w:val="006C7CBB"/>
    <w:rsid w:val="006D3202"/>
    <w:rsid w:val="006E1AB8"/>
    <w:rsid w:val="006E434E"/>
    <w:rsid w:val="0072032E"/>
    <w:rsid w:val="00753683"/>
    <w:rsid w:val="00753DB3"/>
    <w:rsid w:val="0075584A"/>
    <w:rsid w:val="00755CB4"/>
    <w:rsid w:val="007622BF"/>
    <w:rsid w:val="00763403"/>
    <w:rsid w:val="007845FA"/>
    <w:rsid w:val="007C27C4"/>
    <w:rsid w:val="007E2A84"/>
    <w:rsid w:val="00807E00"/>
    <w:rsid w:val="0081694D"/>
    <w:rsid w:val="008A74D0"/>
    <w:rsid w:val="008C20B3"/>
    <w:rsid w:val="008E0F03"/>
    <w:rsid w:val="008F3ECE"/>
    <w:rsid w:val="0092555B"/>
    <w:rsid w:val="00936E2D"/>
    <w:rsid w:val="00967854"/>
    <w:rsid w:val="009D427B"/>
    <w:rsid w:val="009D50B0"/>
    <w:rsid w:val="009D6AF6"/>
    <w:rsid w:val="009E3934"/>
    <w:rsid w:val="00A32A75"/>
    <w:rsid w:val="00A633FE"/>
    <w:rsid w:val="00A91500"/>
    <w:rsid w:val="00A93946"/>
    <w:rsid w:val="00AA228C"/>
    <w:rsid w:val="00AC08A8"/>
    <w:rsid w:val="00B516EC"/>
    <w:rsid w:val="00B90B3F"/>
    <w:rsid w:val="00BB376C"/>
    <w:rsid w:val="00BF41AD"/>
    <w:rsid w:val="00C12450"/>
    <w:rsid w:val="00C129D5"/>
    <w:rsid w:val="00C24C0D"/>
    <w:rsid w:val="00C33BF0"/>
    <w:rsid w:val="00C37D5D"/>
    <w:rsid w:val="00C56576"/>
    <w:rsid w:val="00CA7261"/>
    <w:rsid w:val="00CC5D95"/>
    <w:rsid w:val="00CD65FD"/>
    <w:rsid w:val="00CE2554"/>
    <w:rsid w:val="00CF41E9"/>
    <w:rsid w:val="00D33E23"/>
    <w:rsid w:val="00D4154A"/>
    <w:rsid w:val="00D60DC1"/>
    <w:rsid w:val="00D65782"/>
    <w:rsid w:val="00D80C56"/>
    <w:rsid w:val="00DC76F0"/>
    <w:rsid w:val="00DD214B"/>
    <w:rsid w:val="00DF1A55"/>
    <w:rsid w:val="00DF7244"/>
    <w:rsid w:val="00E121C9"/>
    <w:rsid w:val="00E1567F"/>
    <w:rsid w:val="00E2701F"/>
    <w:rsid w:val="00E311A0"/>
    <w:rsid w:val="00E346A5"/>
    <w:rsid w:val="00E64A13"/>
    <w:rsid w:val="00E92C11"/>
    <w:rsid w:val="00EA25B0"/>
    <w:rsid w:val="00F40983"/>
    <w:rsid w:val="00F446A2"/>
    <w:rsid w:val="00F47A8B"/>
    <w:rsid w:val="00F96A18"/>
    <w:rsid w:val="00FA59E9"/>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74"/>
    <w:pPr>
      <w:spacing w:before="24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701F"/>
    <w:pPr>
      <w:tabs>
        <w:tab w:val="center" w:pos="4513"/>
        <w:tab w:val="right" w:pos="9026"/>
      </w:tabs>
      <w:spacing w:before="0"/>
    </w:pPr>
  </w:style>
  <w:style w:type="character" w:customStyle="1" w:styleId="HeaderChar">
    <w:name w:val="Header Char"/>
    <w:basedOn w:val="DefaultParagraphFont"/>
    <w:link w:val="Header"/>
    <w:uiPriority w:val="99"/>
    <w:semiHidden/>
    <w:rsid w:val="00E2701F"/>
  </w:style>
  <w:style w:type="paragraph" w:styleId="Footer">
    <w:name w:val="footer"/>
    <w:basedOn w:val="Normal"/>
    <w:link w:val="FooterChar"/>
    <w:uiPriority w:val="99"/>
    <w:semiHidden/>
    <w:unhideWhenUsed/>
    <w:rsid w:val="00E2701F"/>
    <w:pPr>
      <w:tabs>
        <w:tab w:val="center" w:pos="4513"/>
        <w:tab w:val="right" w:pos="9026"/>
      </w:tabs>
      <w:spacing w:before="0"/>
    </w:pPr>
  </w:style>
  <w:style w:type="character" w:customStyle="1" w:styleId="FooterChar">
    <w:name w:val="Footer Char"/>
    <w:basedOn w:val="DefaultParagraphFont"/>
    <w:link w:val="Footer"/>
    <w:uiPriority w:val="99"/>
    <w:semiHidden/>
    <w:rsid w:val="00E2701F"/>
  </w:style>
  <w:style w:type="character" w:styleId="Hyperlink">
    <w:name w:val="Hyperlink"/>
    <w:basedOn w:val="DefaultParagraphFont"/>
    <w:uiPriority w:val="99"/>
    <w:unhideWhenUsed/>
    <w:rsid w:val="006A6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arlServOAAB11Exp.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ttachments/ParlServOAAB1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ttachments/Qld%20Govt%20Reponse%20to%20report.pdf" TargetMode="External"/><Relationship Id="rId4" Type="http://schemas.openxmlformats.org/officeDocument/2006/relationships/webSettings" Target="webSettings.xml"/><Relationship Id="rId9" Type="http://schemas.openxmlformats.org/officeDocument/2006/relationships/hyperlink" Target="Attachments/PAPWC%20report%20no%20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2566</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CharactersWithSpaces>
  <SharedDoc>false</SharedDoc>
  <HyperlinkBase>https://www.cabinet.qld.gov.au/documents/2011/Jun/Parl Services Bill PAPWC Report No 7/</HyperlinkBase>
  <HLinks>
    <vt:vector size="24" baseType="variant">
      <vt:variant>
        <vt:i4>2162734</vt:i4>
      </vt:variant>
      <vt:variant>
        <vt:i4>9</vt:i4>
      </vt:variant>
      <vt:variant>
        <vt:i4>0</vt:i4>
      </vt:variant>
      <vt:variant>
        <vt:i4>5</vt:i4>
      </vt:variant>
      <vt:variant>
        <vt:lpwstr>Attachments/Qld Govt Reponse to report.pdf</vt:lpwstr>
      </vt:variant>
      <vt:variant>
        <vt:lpwstr/>
      </vt:variant>
      <vt:variant>
        <vt:i4>983069</vt:i4>
      </vt:variant>
      <vt:variant>
        <vt:i4>6</vt:i4>
      </vt:variant>
      <vt:variant>
        <vt:i4>0</vt:i4>
      </vt:variant>
      <vt:variant>
        <vt:i4>5</vt:i4>
      </vt:variant>
      <vt:variant>
        <vt:lpwstr>Attachments/PAPWC report no 7.pdf</vt:lpwstr>
      </vt:variant>
      <vt:variant>
        <vt:lpwstr/>
      </vt:variant>
      <vt:variant>
        <vt:i4>6094943</vt:i4>
      </vt:variant>
      <vt:variant>
        <vt:i4>3</vt:i4>
      </vt:variant>
      <vt:variant>
        <vt:i4>0</vt:i4>
      </vt:variant>
      <vt:variant>
        <vt:i4>5</vt:i4>
      </vt:variant>
      <vt:variant>
        <vt:lpwstr>Attachments/ParlServOAAB11Exp.pdf</vt:lpwstr>
      </vt:variant>
      <vt:variant>
        <vt:lpwstr/>
      </vt:variant>
      <vt:variant>
        <vt:i4>7929968</vt:i4>
      </vt:variant>
      <vt:variant>
        <vt:i4>0</vt:i4>
      </vt:variant>
      <vt:variant>
        <vt:i4>0</vt:i4>
      </vt:variant>
      <vt:variant>
        <vt:i4>5</vt:i4>
      </vt:variant>
      <vt:variant>
        <vt:lpwstr>Attachments/ParlServOAAB11.pdf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2017-10-24T23:06:00Z</dcterms:created>
  <dcterms:modified xsi:type="dcterms:W3CDTF">2018-03-06T01:08:00Z</dcterms:modified>
  <cp:category>Auditor_General,Parliament,Committees,Performance_Management</cp:category>
</cp:coreProperties>
</file>